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814"/>
        <w:gridCol w:w="6801"/>
        <w:gridCol w:w="2979"/>
      </w:tblGrid>
      <w:tr w:rsidR="00713CEE" w:rsidRPr="00713CEE" w:rsidTr="00125E0A">
        <w:tc>
          <w:tcPr>
            <w:tcW w:w="14176" w:type="dxa"/>
            <w:gridSpan w:val="4"/>
            <w:shd w:val="clear" w:color="auto" w:fill="D9D9D9"/>
          </w:tcPr>
          <w:p w:rsidR="00713CEE" w:rsidRPr="00713CEE" w:rsidRDefault="00713CEE" w:rsidP="00713CEE">
            <w:pPr>
              <w:spacing w:before="120" w:after="80" w:line="276" w:lineRule="auto"/>
              <w:ind w:left="360"/>
              <w:rPr>
                <w:rFonts w:ascii="Times New Roman" w:eastAsia="Calibri" w:hAnsi="Times New Roman" w:cs="Times New Roman"/>
                <w:sz w:val="26"/>
                <w:szCs w:val="26"/>
                <w:lang w:val="fr-FR"/>
              </w:rPr>
            </w:pPr>
            <w:bookmarkStart w:id="0" w:name="_GoBack"/>
            <w:bookmarkEnd w:id="0"/>
            <w:r w:rsidRPr="00713CEE">
              <w:rPr>
                <w:rFonts w:ascii="Times New Roman" w:eastAsia="Calibri" w:hAnsi="Times New Roman" w:cs="Times New Roman"/>
                <w:b/>
                <w:sz w:val="26"/>
                <w:szCs w:val="26"/>
                <w:lang w:val="fr-FR"/>
              </w:rPr>
              <w:t>Dự thảo Nghị định sửa đổi, bổ sung một số điều của Nghị định số 101/2012/NĐ-CP ngày 22 tháng 11 năm 2012 của Chính phủ về thanh toán không dùng tiền mặt</w:t>
            </w:r>
          </w:p>
        </w:tc>
      </w:tr>
      <w:tr w:rsidR="00713CEE" w:rsidRPr="00713CEE" w:rsidTr="00125E0A">
        <w:tc>
          <w:tcPr>
            <w:tcW w:w="582" w:type="dxa"/>
            <w:shd w:val="clear" w:color="auto" w:fill="auto"/>
          </w:tcPr>
          <w:p w:rsidR="00713CEE" w:rsidRPr="00713CEE" w:rsidRDefault="00713CEE" w:rsidP="00713CEE">
            <w:pPr>
              <w:spacing w:before="120" w:after="80" w:line="276" w:lineRule="auto"/>
              <w:jc w:val="center"/>
              <w:rPr>
                <w:rFonts w:ascii="Times New Roman" w:eastAsia="Calibri" w:hAnsi="Times New Roman" w:cs="Times New Roman"/>
                <w:sz w:val="26"/>
                <w:szCs w:val="26"/>
              </w:rPr>
            </w:pPr>
            <w:r w:rsidRPr="00713CEE">
              <w:rPr>
                <w:rFonts w:ascii="Times New Roman" w:eastAsia="Calibri" w:hAnsi="Times New Roman" w:cs="Times New Roman"/>
                <w:sz w:val="26"/>
                <w:szCs w:val="26"/>
              </w:rPr>
              <w:t>1</w:t>
            </w:r>
          </w:p>
        </w:tc>
        <w:tc>
          <w:tcPr>
            <w:tcW w:w="3814" w:type="dxa"/>
            <w:shd w:val="clear" w:color="auto" w:fill="auto"/>
          </w:tcPr>
          <w:p w:rsidR="00713CEE" w:rsidRPr="00713CEE" w:rsidRDefault="00713CEE" w:rsidP="00713CEE">
            <w:pPr>
              <w:spacing w:before="120" w:after="80" w:line="276" w:lineRule="auto"/>
              <w:rPr>
                <w:rFonts w:ascii="Times New Roman" w:eastAsia="Calibri" w:hAnsi="Times New Roman" w:cs="Times New Roman"/>
                <w:sz w:val="26"/>
                <w:szCs w:val="26"/>
              </w:rPr>
            </w:pPr>
            <w:r w:rsidRPr="00713CEE">
              <w:rPr>
                <w:rFonts w:ascii="Times New Roman" w:eastAsia="Calibri" w:hAnsi="Times New Roman" w:cs="Times New Roman"/>
                <w:b/>
                <w:sz w:val="26"/>
                <w:szCs w:val="26"/>
              </w:rPr>
              <w:t>Về khái niệm “phương tiện thanh toán không dùng tiền mặt”</w:t>
            </w:r>
            <w:r w:rsidRPr="00713CEE">
              <w:rPr>
                <w:rFonts w:ascii="Times New Roman" w:eastAsia="Calibri" w:hAnsi="Times New Roman" w:cs="Times New Roman"/>
                <w:sz w:val="26"/>
                <w:szCs w:val="26"/>
              </w:rPr>
              <w:t xml:space="preserve"> (bổ sung khoản 6 Điều 4 Nghị định 101)</w:t>
            </w:r>
          </w:p>
          <w:p w:rsidR="00713CEE" w:rsidRPr="00713CEE" w:rsidRDefault="00713CEE" w:rsidP="00713CEE">
            <w:pPr>
              <w:spacing w:before="120" w:after="80" w:line="276" w:lineRule="auto"/>
              <w:rPr>
                <w:rFonts w:ascii="Times New Roman" w:eastAsia="Calibri" w:hAnsi="Times New Roman" w:cs="Times New Roman"/>
                <w:sz w:val="26"/>
                <w:szCs w:val="26"/>
              </w:rPr>
            </w:pPr>
            <w:r w:rsidRPr="00713CEE">
              <w:rPr>
                <w:rFonts w:ascii="Times New Roman" w:eastAsia="Calibri" w:hAnsi="Times New Roman" w:cs="Times New Roman"/>
                <w:sz w:val="26"/>
                <w:szCs w:val="26"/>
              </w:rPr>
              <w:t xml:space="preserve">Dự thảo quy định liệt kê rõ 06 loại phương tiện thanh toán không dùng tiền mặt và 01 loại </w:t>
            </w:r>
            <w:r w:rsidRPr="00713CEE">
              <w:rPr>
                <w:rFonts w:ascii="Times New Roman" w:eastAsia="Calibri" w:hAnsi="Times New Roman" w:cs="Times New Roman"/>
                <w:b/>
                <w:sz w:val="26"/>
                <w:szCs w:val="26"/>
              </w:rPr>
              <w:t>“quét”</w:t>
            </w:r>
            <w:r w:rsidRPr="00713CEE">
              <w:rPr>
                <w:rFonts w:ascii="Times New Roman" w:eastAsia="Calibri" w:hAnsi="Times New Roman" w:cs="Times New Roman"/>
                <w:sz w:val="26"/>
                <w:szCs w:val="26"/>
              </w:rPr>
              <w:t xml:space="preserve"> (“các phương tiện khác theo quy định của Ngân hàng Nhà nước”).</w:t>
            </w:r>
          </w:p>
        </w:tc>
        <w:tc>
          <w:tcPr>
            <w:tcW w:w="6801" w:type="dxa"/>
            <w:shd w:val="clear" w:color="auto" w:fill="auto"/>
          </w:tcPr>
          <w:p w:rsidR="00713CEE" w:rsidRPr="00713CEE" w:rsidRDefault="00713CEE" w:rsidP="00713CEE">
            <w:pPr>
              <w:spacing w:before="120" w:after="80" w:line="276" w:lineRule="auto"/>
              <w:rPr>
                <w:rFonts w:ascii="Times New Roman" w:eastAsia="Calibri" w:hAnsi="Times New Roman" w:cs="Times New Roman"/>
                <w:sz w:val="26"/>
                <w:szCs w:val="26"/>
              </w:rPr>
            </w:pPr>
            <w:r w:rsidRPr="00713CEE">
              <w:rPr>
                <w:rFonts w:ascii="Times New Roman" w:eastAsia="Calibri" w:hAnsi="Times New Roman" w:cs="Times New Roman"/>
                <w:sz w:val="26"/>
                <w:szCs w:val="26"/>
              </w:rPr>
              <w:t>Liên quan tới loại “quét”, về mặt thực tế thì đây là quy định linh hoạt, cho phép có thể bổ sung thêm vào danh sách các loại phương tiện thanh toán không dùng tiền mặt các loại mới bắt kịp với sự phát triển của công nghệ cũng như cơ chế thanh toán trên thế giới.</w:t>
            </w:r>
          </w:p>
          <w:p w:rsidR="00713CEE" w:rsidRPr="00713CEE" w:rsidRDefault="00713CEE" w:rsidP="00713CEE">
            <w:pPr>
              <w:spacing w:before="120" w:after="80" w:line="276" w:lineRule="auto"/>
              <w:rPr>
                <w:rFonts w:ascii="Times New Roman" w:eastAsia="Calibri" w:hAnsi="Times New Roman" w:cs="Times New Roman"/>
                <w:sz w:val="26"/>
                <w:szCs w:val="26"/>
              </w:rPr>
            </w:pPr>
            <w:r w:rsidRPr="00713CEE">
              <w:rPr>
                <w:rFonts w:ascii="Times New Roman" w:eastAsia="Calibri" w:hAnsi="Times New Roman" w:cs="Times New Roman"/>
                <w:sz w:val="26"/>
                <w:szCs w:val="26"/>
              </w:rPr>
              <w:t>Tuy nhiên, việc trao cho Ngân hàng Nhà nước Việt Nam quy định các loại phương tiện thanh toán khác mới mà không quy định ngay tại Nghị định các loại phương tiện thành toán sẽ gặp một số vấn đề như:</w:t>
            </w:r>
          </w:p>
          <w:p w:rsidR="00713CEE" w:rsidRPr="00713CEE" w:rsidRDefault="00713CEE" w:rsidP="00713CEE">
            <w:pPr>
              <w:numPr>
                <w:ilvl w:val="0"/>
                <w:numId w:val="1"/>
              </w:numPr>
              <w:spacing w:before="120" w:after="80" w:line="276" w:lineRule="auto"/>
              <w:ind w:left="459" w:hanging="284"/>
              <w:rPr>
                <w:rFonts w:ascii="Times New Roman" w:eastAsia="Calibri" w:hAnsi="Times New Roman" w:cs="Times New Roman"/>
                <w:sz w:val="26"/>
                <w:szCs w:val="26"/>
              </w:rPr>
            </w:pPr>
            <w:r w:rsidRPr="00713CEE">
              <w:rPr>
                <w:rFonts w:ascii="Times New Roman" w:eastAsia="Calibri" w:hAnsi="Times New Roman" w:cs="Times New Roman"/>
                <w:sz w:val="26"/>
                <w:szCs w:val="26"/>
              </w:rPr>
              <w:t>Rủi ro về pháp lý: Trong khi các loại phương tiện thanh toán truyền thống thì phải được quy định trong văn bản cấp Nghị định thì các loại mới, rủi ro hơn, khó nhận diện hơn, lại chỉ cần quy định tại văn bản cấp Bộ - quy trình kiểm soát, ban hành lỏng hơn (ví dụ nếu Ngân hàng Nhà nước quy định bitcoin, one-coin là phương tiện thanh toán thì có được không);</w:t>
            </w:r>
          </w:p>
          <w:p w:rsidR="00713CEE" w:rsidRPr="00713CEE" w:rsidRDefault="00713CEE" w:rsidP="00713CEE">
            <w:pPr>
              <w:numPr>
                <w:ilvl w:val="0"/>
                <w:numId w:val="1"/>
              </w:numPr>
              <w:spacing w:before="120" w:after="80" w:line="276" w:lineRule="auto"/>
              <w:ind w:left="459" w:hanging="284"/>
              <w:rPr>
                <w:rFonts w:ascii="Times New Roman" w:eastAsia="Calibri" w:hAnsi="Times New Roman" w:cs="Times New Roman"/>
                <w:sz w:val="26"/>
                <w:szCs w:val="26"/>
              </w:rPr>
            </w:pPr>
            <w:r w:rsidRPr="00713CEE">
              <w:rPr>
                <w:rFonts w:ascii="Times New Roman" w:eastAsia="Calibri" w:hAnsi="Times New Roman" w:cs="Times New Roman"/>
                <w:sz w:val="26"/>
                <w:szCs w:val="26"/>
              </w:rPr>
              <w:t xml:space="preserve">Rủi ro cho doanh nghiệp: cơ chế quá mở (mà thực tế là không có cơ chế) đồng nghĩa với việc doanh nghiệp không thể nhìn thấy trước, dự đoán trước về xu hướng liên quan tới các phương tiện thanh toán sẽ được chấp nhận ở tương lai. </w:t>
            </w:r>
          </w:p>
        </w:tc>
        <w:tc>
          <w:tcPr>
            <w:tcW w:w="2979" w:type="dxa"/>
            <w:shd w:val="clear" w:color="auto" w:fill="auto"/>
          </w:tcPr>
          <w:p w:rsidR="00713CEE" w:rsidRPr="00713CEE" w:rsidRDefault="00713CEE" w:rsidP="00713CEE">
            <w:pPr>
              <w:spacing w:before="120" w:after="80" w:line="276" w:lineRule="auto"/>
              <w:rPr>
                <w:rFonts w:ascii="Times New Roman" w:eastAsia="Calibri" w:hAnsi="Times New Roman" w:cs="Times New Roman"/>
                <w:sz w:val="26"/>
                <w:szCs w:val="26"/>
              </w:rPr>
            </w:pPr>
            <w:r w:rsidRPr="00713CEE">
              <w:rPr>
                <w:rFonts w:ascii="Times New Roman" w:eastAsia="Calibri" w:hAnsi="Times New Roman" w:cs="Times New Roman"/>
                <w:b/>
                <w:sz w:val="26"/>
                <w:szCs w:val="26"/>
              </w:rPr>
              <w:t xml:space="preserve">Đề nghị bỏ quy định “các phương tiện khác theo quy định của Ngân hàng Nhà nước” </w:t>
            </w:r>
            <w:r w:rsidRPr="00713CEE">
              <w:rPr>
                <w:rFonts w:ascii="Times New Roman" w:eastAsia="Calibri" w:hAnsi="Times New Roman" w:cs="Times New Roman"/>
                <w:sz w:val="26"/>
                <w:szCs w:val="26"/>
              </w:rPr>
              <w:t>quy định tại khoản 6 Điều 4 Nghị định 101 (sửa đổi)</w:t>
            </w:r>
          </w:p>
        </w:tc>
      </w:tr>
    </w:tbl>
    <w:p w:rsidR="005054F7" w:rsidRPr="00713CEE" w:rsidRDefault="005054F7">
      <w:pPr>
        <w:rPr>
          <w:lang w:val="fr-FR"/>
        </w:rPr>
      </w:pPr>
    </w:p>
    <w:sectPr w:rsidR="005054F7" w:rsidRPr="00713CEE" w:rsidSect="00713CEE">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12C67"/>
    <w:multiLevelType w:val="hybridMultilevel"/>
    <w:tmpl w:val="888CF24A"/>
    <w:lvl w:ilvl="0" w:tplc="DDDA9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CB79BE"/>
    <w:multiLevelType w:val="hybridMultilevel"/>
    <w:tmpl w:val="154413D4"/>
    <w:lvl w:ilvl="0" w:tplc="95AEC604">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2D"/>
    <w:rsid w:val="005054F7"/>
    <w:rsid w:val="00617F2D"/>
    <w:rsid w:val="00713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75158-96DC-47E0-893A-2BFDAEFA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2016-08-29T08:31:00Z</dcterms:created>
  <dcterms:modified xsi:type="dcterms:W3CDTF">2016-08-29T08:33:00Z</dcterms:modified>
</cp:coreProperties>
</file>